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1A4EE0">
        <w:rPr>
          <w:rFonts w:ascii="Times New Roman" w:hAnsi="Times New Roman"/>
          <w:bCs/>
          <w:color w:val="FF0000"/>
          <w:sz w:val="20"/>
          <w:szCs w:val="20"/>
          <w:highlight w:val="yellow"/>
        </w:rPr>
        <w:t>22</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245065">
        <w:rPr>
          <w:rFonts w:ascii="Times New Roman" w:hAnsi="Times New Roman"/>
          <w:bCs/>
          <w:color w:val="FF0000"/>
          <w:sz w:val="20"/>
          <w:szCs w:val="20"/>
          <w:highlight w:val="yellow"/>
        </w:rPr>
        <w:t>3</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245065">
        <w:rPr>
          <w:rFonts w:ascii="Times New Roman" w:hAnsi="Times New Roman"/>
          <w:bCs/>
          <w:color w:val="FF0000"/>
          <w:sz w:val="20"/>
          <w:szCs w:val="20"/>
          <w:highlight w:val="yellow"/>
        </w:rPr>
        <w:t>4</w:t>
      </w:r>
      <w:r w:rsidR="001A4EE0">
        <w:rPr>
          <w:rFonts w:ascii="Times New Roman" w:hAnsi="Times New Roman"/>
          <w:bCs/>
          <w:color w:val="FF0000"/>
          <w:sz w:val="20"/>
          <w:szCs w:val="20"/>
          <w:highlight w:val="yellow"/>
        </w:rPr>
        <w:t>79</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244CB6">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1A4EE0">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Общий объем финансового обеспечения реализации муниципальной программы составит 1</w:t>
            </w:r>
            <w:r>
              <w:rPr>
                <w:rFonts w:ascii="Times New Roman" w:hAnsi="Times New Roman"/>
                <w:sz w:val="24"/>
                <w:szCs w:val="24"/>
              </w:rPr>
              <w:t>9</w:t>
            </w:r>
            <w:r w:rsidRPr="00EB5272">
              <w:rPr>
                <w:rFonts w:ascii="Times New Roman" w:hAnsi="Times New Roman"/>
                <w:sz w:val="24"/>
                <w:szCs w:val="24"/>
              </w:rPr>
              <w:t> </w:t>
            </w:r>
            <w:r>
              <w:rPr>
                <w:rFonts w:ascii="Times New Roman" w:hAnsi="Times New Roman"/>
                <w:sz w:val="24"/>
                <w:szCs w:val="24"/>
              </w:rPr>
              <w:t>80</w:t>
            </w:r>
            <w:r w:rsidR="001A4EE0">
              <w:rPr>
                <w:rFonts w:ascii="Times New Roman" w:hAnsi="Times New Roman"/>
                <w:sz w:val="24"/>
                <w:szCs w:val="24"/>
              </w:rPr>
              <w:t>8</w:t>
            </w:r>
            <w:r w:rsidRPr="00EB5272">
              <w:rPr>
                <w:rFonts w:ascii="Times New Roman" w:hAnsi="Times New Roman"/>
                <w:sz w:val="24"/>
                <w:szCs w:val="24"/>
              </w:rPr>
              <w:t> </w:t>
            </w:r>
            <w:r w:rsidR="001A4EE0">
              <w:rPr>
                <w:rFonts w:ascii="Times New Roman" w:hAnsi="Times New Roman"/>
                <w:sz w:val="24"/>
                <w:szCs w:val="24"/>
              </w:rPr>
              <w:t>281</w:t>
            </w:r>
            <w:r>
              <w:rPr>
                <w:rFonts w:ascii="Times New Roman" w:hAnsi="Times New Roman"/>
                <w:sz w:val="24"/>
                <w:szCs w:val="24"/>
              </w:rPr>
              <w:t>,</w:t>
            </w:r>
            <w:r w:rsidR="001A4EE0">
              <w:rPr>
                <w:rFonts w:ascii="Times New Roman" w:hAnsi="Times New Roman"/>
                <w:sz w:val="24"/>
                <w:szCs w:val="24"/>
              </w:rPr>
              <w:t>9</w:t>
            </w:r>
            <w:r w:rsidRPr="00EB5272">
              <w:rPr>
                <w:rFonts w:ascii="Times New Roman" w:hAnsi="Times New Roman"/>
                <w:sz w:val="24"/>
                <w:szCs w:val="24"/>
              </w:rPr>
              <w:t xml:space="preserve"> тыс. руб., в том числе:</w:t>
            </w:r>
          </w:p>
        </w:tc>
      </w:tr>
      <w:tr w:rsidR="00713079" w:rsidRPr="00173219" w:rsidTr="009169B4">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039</w:t>
            </w:r>
            <w:r w:rsidRPr="00EB5272">
              <w:rPr>
                <w:rFonts w:ascii="Times New Roman" w:hAnsi="Times New Roman"/>
                <w:sz w:val="20"/>
                <w:szCs w:val="20"/>
              </w:rPr>
              <w:t> </w:t>
            </w:r>
            <w:r>
              <w:rPr>
                <w:rFonts w:ascii="Times New Roman" w:hAnsi="Times New Roman"/>
                <w:sz w:val="20"/>
                <w:szCs w:val="20"/>
              </w:rPr>
              <w:t>212</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w:t>
            </w:r>
            <w:r w:rsidR="001A4EE0">
              <w:rPr>
                <w:rFonts w:ascii="Times New Roman" w:hAnsi="Times New Roman"/>
                <w:sz w:val="20"/>
                <w:szCs w:val="20"/>
              </w:rPr>
              <w:t>7</w:t>
            </w:r>
            <w:r w:rsidRPr="00EB5272">
              <w:rPr>
                <w:rFonts w:ascii="Times New Roman" w:hAnsi="Times New Roman"/>
                <w:sz w:val="20"/>
                <w:szCs w:val="20"/>
              </w:rPr>
              <w:t> </w:t>
            </w:r>
            <w:r w:rsidR="001A4EE0">
              <w:rPr>
                <w:rFonts w:ascii="Times New Roman" w:hAnsi="Times New Roman"/>
                <w:sz w:val="20"/>
                <w:szCs w:val="20"/>
              </w:rPr>
              <w:t>877</w:t>
            </w:r>
            <w:r w:rsidRPr="00EB5272">
              <w:rPr>
                <w:rFonts w:ascii="Times New Roman" w:hAnsi="Times New Roman"/>
                <w:sz w:val="20"/>
                <w:szCs w:val="20"/>
              </w:rPr>
              <w:t>,</w:t>
            </w:r>
            <w:r w:rsidR="001A4EE0">
              <w:rPr>
                <w:rFonts w:ascii="Times New Roman" w:hAnsi="Times New Roman"/>
                <w:sz w:val="20"/>
                <w:szCs w:val="20"/>
              </w:rPr>
              <w:t>4</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Pr>
                <w:rFonts w:ascii="Times New Roman" w:hAnsi="Times New Roman"/>
                <w:sz w:val="20"/>
                <w:szCs w:val="20"/>
              </w:rPr>
              <w:t>076</w:t>
            </w:r>
            <w:r w:rsidRPr="00EB5272">
              <w:rPr>
                <w:rFonts w:ascii="Times New Roman" w:hAnsi="Times New Roman"/>
                <w:sz w:val="20"/>
                <w:szCs w:val="20"/>
              </w:rPr>
              <w:t> </w:t>
            </w:r>
            <w:r>
              <w:rPr>
                <w:rFonts w:ascii="Times New Roman" w:hAnsi="Times New Roman"/>
                <w:sz w:val="20"/>
                <w:szCs w:val="20"/>
              </w:rPr>
              <w:t>167</w:t>
            </w:r>
            <w:r w:rsidRPr="00EB5272">
              <w:rPr>
                <w:rFonts w:ascii="Times New Roman" w:hAnsi="Times New Roman"/>
                <w:sz w:val="20"/>
                <w:szCs w:val="20"/>
              </w:rPr>
              <w:t>,</w:t>
            </w:r>
            <w:r>
              <w:rPr>
                <w:rFonts w:ascii="Times New Roman" w:hAnsi="Times New Roman"/>
                <w:sz w:val="20"/>
                <w:szCs w:val="20"/>
              </w:rPr>
              <w:t>9</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862EBD" w:rsidP="001A4EE0">
            <w:pPr>
              <w:ind w:left="80" w:hanging="80"/>
              <w:jc w:val="center"/>
              <w:rPr>
                <w:rFonts w:ascii="Times New Roman" w:hAnsi="Times New Roman"/>
                <w:sz w:val="18"/>
                <w:szCs w:val="18"/>
              </w:rPr>
            </w:pPr>
            <w:r w:rsidRPr="00713079">
              <w:rPr>
                <w:rFonts w:ascii="Times New Roman" w:hAnsi="Times New Roman"/>
                <w:sz w:val="18"/>
                <w:szCs w:val="18"/>
              </w:rPr>
              <w:t>19 80</w:t>
            </w:r>
            <w:r w:rsidR="001A4EE0">
              <w:rPr>
                <w:rFonts w:ascii="Times New Roman" w:hAnsi="Times New Roman"/>
                <w:sz w:val="18"/>
                <w:szCs w:val="18"/>
              </w:rPr>
              <w:t>8</w:t>
            </w:r>
            <w:r w:rsidRPr="00713079">
              <w:rPr>
                <w:rFonts w:ascii="Times New Roman" w:hAnsi="Times New Roman"/>
                <w:sz w:val="18"/>
                <w:szCs w:val="18"/>
              </w:rPr>
              <w:t> </w:t>
            </w:r>
            <w:r w:rsidR="001A4EE0">
              <w:rPr>
                <w:rFonts w:ascii="Times New Roman" w:hAnsi="Times New Roman"/>
                <w:sz w:val="18"/>
                <w:szCs w:val="18"/>
              </w:rPr>
              <w:t>281</w:t>
            </w:r>
            <w:r w:rsidRPr="00713079">
              <w:rPr>
                <w:rFonts w:ascii="Times New Roman" w:hAnsi="Times New Roman"/>
                <w:sz w:val="18"/>
                <w:szCs w:val="18"/>
              </w:rPr>
              <w:t>,</w:t>
            </w:r>
            <w:r w:rsidR="001A4EE0">
              <w:rPr>
                <w:rFonts w:ascii="Times New Roman" w:hAnsi="Times New Roman"/>
                <w:sz w:val="18"/>
                <w:szCs w:val="18"/>
              </w:rPr>
              <w:t>9</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w:t>
            </w:r>
            <w:r w:rsidRPr="00304668">
              <w:rPr>
                <w:rFonts w:ascii="Times New Roman" w:eastAsia="Times New Roman" w:hAnsi="Times New Roman"/>
                <w:sz w:val="24"/>
                <w:szCs w:val="24"/>
                <w:lang w:eastAsia="ru-RU"/>
              </w:rPr>
              <w:lastRenderedPageBreak/>
              <w:t>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9223A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753C01">
              <w:rPr>
                <w:rFonts w:ascii="Times New Roman" w:eastAsia="Times New Roman" w:hAnsi="Times New Roman"/>
                <w:sz w:val="24"/>
                <w:szCs w:val="24"/>
                <w:lang w:eastAsia="ru-RU"/>
              </w:rPr>
              <w:t>578</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753C01">
              <w:rPr>
                <w:rFonts w:ascii="Times New Roman" w:eastAsia="Times New Roman" w:hAnsi="Times New Roman"/>
                <w:sz w:val="24"/>
                <w:szCs w:val="24"/>
                <w:lang w:eastAsia="ru-RU"/>
              </w:rPr>
              <w:t>66</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922</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753C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w:t>
            </w:r>
            <w:r w:rsidR="00753C01">
              <w:rPr>
                <w:rFonts w:ascii="Times New Roman" w:eastAsia="Times New Roman" w:hAnsi="Times New Roman"/>
                <w:sz w:val="24"/>
                <w:szCs w:val="24"/>
                <w:lang w:eastAsia="ru-RU"/>
              </w:rPr>
              <w:t>7</w:t>
            </w:r>
            <w:r w:rsidR="00FF2110">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668</w:t>
            </w:r>
            <w:r w:rsidR="00304668"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w:t>
      </w:r>
      <w:r w:rsidRPr="00304668">
        <w:rPr>
          <w:rFonts w:ascii="Times New Roman" w:eastAsia="Times New Roman" w:hAnsi="Times New Roman"/>
          <w:sz w:val="28"/>
          <w:szCs w:val="28"/>
          <w:lang w:eastAsia="ru-RU"/>
        </w:rPr>
        <w:lastRenderedPageBreak/>
        <w:t xml:space="preserve">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w:t>
      </w:r>
      <w:r w:rsidRPr="00304668">
        <w:rPr>
          <w:rFonts w:ascii="Times New Roman" w:eastAsia="Times New Roman" w:hAnsi="Times New Roman"/>
          <w:sz w:val="28"/>
          <w:szCs w:val="28"/>
          <w:lang w:eastAsia="ru-RU"/>
        </w:rPr>
        <w:lastRenderedPageBreak/>
        <w:t xml:space="preserve">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w:t>
      </w:r>
      <w:r w:rsidRPr="00304668">
        <w:rPr>
          <w:rFonts w:ascii="Times New Roman" w:eastAsia="Times New Roman" w:hAnsi="Times New Roman"/>
          <w:sz w:val="28"/>
          <w:szCs w:val="28"/>
          <w:lang w:eastAsia="ru-RU"/>
        </w:rPr>
        <w:lastRenderedPageBreak/>
        <w:t xml:space="preserve">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w:t>
      </w:r>
      <w:r w:rsidRPr="00304668">
        <w:rPr>
          <w:rFonts w:ascii="Times New Roman" w:eastAsia="Times New Roman" w:hAnsi="Times New Roman"/>
          <w:sz w:val="28"/>
          <w:szCs w:val="28"/>
          <w:lang w:eastAsia="ru-RU"/>
        </w:rPr>
        <w:lastRenderedPageBreak/>
        <w:t xml:space="preserve">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w:t>
      </w:r>
      <w:r w:rsidRPr="00AA6EFD">
        <w:rPr>
          <w:rFonts w:ascii="Times New Roman" w:hAnsi="Times New Roman"/>
          <w:sz w:val="28"/>
          <w:szCs w:val="28"/>
        </w:rPr>
        <w:lastRenderedPageBreak/>
        <w:t>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833F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7833F6">
              <w:rPr>
                <w:rFonts w:ascii="Times New Roman" w:hAnsi="Times New Roman"/>
                <w:sz w:val="24"/>
                <w:szCs w:val="24"/>
              </w:rPr>
              <w:t>89</w:t>
            </w:r>
            <w:r w:rsidRPr="00304668">
              <w:rPr>
                <w:rFonts w:ascii="Times New Roman" w:hAnsi="Times New Roman"/>
                <w:sz w:val="24"/>
                <w:szCs w:val="24"/>
              </w:rPr>
              <w:t> </w:t>
            </w:r>
            <w:r w:rsidR="007833F6">
              <w:rPr>
                <w:rFonts w:ascii="Times New Roman" w:hAnsi="Times New Roman"/>
                <w:sz w:val="24"/>
                <w:szCs w:val="24"/>
              </w:rPr>
              <w:t>02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7833F6"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932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3F6">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7833F6">
              <w:rPr>
                <w:rFonts w:ascii="Times New Roman" w:eastAsia="Times New Roman" w:hAnsi="Times New Roman"/>
                <w:sz w:val="24"/>
                <w:szCs w:val="24"/>
                <w:lang w:eastAsia="ru-RU"/>
              </w:rPr>
              <w:t>92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7833F6">
              <w:rPr>
                <w:rFonts w:ascii="Times New Roman" w:hAnsi="Times New Roman"/>
                <w:sz w:val="24"/>
                <w:szCs w:val="24"/>
              </w:rPr>
              <w:t>4</w:t>
            </w:r>
            <w:r w:rsidR="00304668" w:rsidRPr="00304668">
              <w:rPr>
                <w:rFonts w:ascii="Times New Roman" w:hAnsi="Times New Roman"/>
                <w:sz w:val="24"/>
                <w:szCs w:val="24"/>
              </w:rPr>
              <w:t> </w:t>
            </w:r>
            <w:r w:rsidR="007833F6">
              <w:rPr>
                <w:rFonts w:ascii="Times New Roman" w:hAnsi="Times New Roman"/>
                <w:sz w:val="24"/>
                <w:szCs w:val="24"/>
              </w:rPr>
              <w:t>572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7833F6">
              <w:rPr>
                <w:rFonts w:ascii="Times New Roman" w:hAnsi="Times New Roman"/>
                <w:sz w:val="24"/>
                <w:szCs w:val="24"/>
              </w:rPr>
              <w:t>89</w:t>
            </w:r>
            <w:r w:rsidR="00DD6B60">
              <w:rPr>
                <w:rFonts w:ascii="Times New Roman" w:hAnsi="Times New Roman"/>
                <w:sz w:val="24"/>
                <w:szCs w:val="24"/>
              </w:rPr>
              <w:t> </w:t>
            </w:r>
            <w:r w:rsidR="007833F6">
              <w:rPr>
                <w:rFonts w:ascii="Times New Roman" w:hAnsi="Times New Roman"/>
                <w:sz w:val="24"/>
                <w:szCs w:val="24"/>
              </w:rPr>
              <w:t>02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Сроки реализации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lastRenderedPageBreak/>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w:t>
            </w:r>
            <w:r w:rsidRPr="00304668">
              <w:rPr>
                <w:rFonts w:ascii="Times New Roman" w:eastAsia="Times New Roman" w:hAnsi="Times New Roman"/>
                <w:sz w:val="24"/>
                <w:szCs w:val="24"/>
                <w:lang w:eastAsia="ru-RU"/>
              </w:rPr>
              <w:lastRenderedPageBreak/>
              <w:t>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lastRenderedPageBreak/>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r>
            <w:r w:rsidRPr="00304668">
              <w:rPr>
                <w:rFonts w:ascii="Times New Roman" w:hAnsi="Times New Roman"/>
                <w:sz w:val="24"/>
                <w:szCs w:val="24"/>
              </w:rPr>
              <w:lastRenderedPageBreak/>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4A49DF">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AF2D45">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E71593">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w:t>
      </w:r>
      <w:r w:rsidRPr="00304668">
        <w:rPr>
          <w:rFonts w:ascii="Times New Roman" w:eastAsia="Times New Roman" w:hAnsi="Times New Roman"/>
          <w:sz w:val="28"/>
          <w:szCs w:val="28"/>
          <w:lang w:eastAsia="ru-RU"/>
        </w:rPr>
        <w:lastRenderedPageBreak/>
        <w:t>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7. Количество объектов дорожной инфраструктуры, строительство которых осуществлялось в </w:t>
            </w:r>
            <w:r w:rsidRPr="00304668">
              <w:rPr>
                <w:rFonts w:ascii="Times New Roman" w:hAnsi="Times New Roman"/>
                <w:sz w:val="24"/>
                <w:szCs w:val="24"/>
                <w:lang w:eastAsia="ru-RU"/>
              </w:rPr>
              <w:lastRenderedPageBreak/>
              <w:t>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8813E0">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8813E0">
              <w:rPr>
                <w:rFonts w:ascii="Times New Roman" w:eastAsia="Times New Roman" w:hAnsi="Times New Roman"/>
                <w:sz w:val="24"/>
                <w:szCs w:val="24"/>
                <w:lang w:eastAsia="ru-RU"/>
              </w:rPr>
              <w:t>551</w:t>
            </w:r>
            <w:r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8C5771" w:rsidP="008C57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057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8C5771"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w:t>
            </w:r>
            <w:r w:rsidR="008813E0">
              <w:rPr>
                <w:rFonts w:ascii="Times New Roman" w:eastAsia="Times New Roman" w:hAnsi="Times New Roman"/>
                <w:sz w:val="24"/>
                <w:szCs w:val="24"/>
                <w:lang w:eastAsia="ru-RU"/>
              </w:rPr>
              <w:t>62</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169</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8</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265</w:t>
            </w:r>
            <w:r w:rsidR="00953677">
              <w:rPr>
                <w:rFonts w:ascii="Times New Roman" w:hAnsi="Times New Roman"/>
                <w:sz w:val="24"/>
                <w:szCs w:val="24"/>
              </w:rPr>
              <w:t xml:space="preserve"> </w:t>
            </w:r>
            <w:r>
              <w:rPr>
                <w:rFonts w:ascii="Times New Roman" w:hAnsi="Times New Roman"/>
                <w:sz w:val="24"/>
                <w:szCs w:val="24"/>
              </w:rPr>
              <w:t>667</w:t>
            </w:r>
            <w:r w:rsidR="00304668" w:rsidRPr="00304668">
              <w:rPr>
                <w:rFonts w:ascii="Times New Roman" w:hAnsi="Times New Roman"/>
                <w:sz w:val="24"/>
                <w:szCs w:val="24"/>
              </w:rPr>
              <w:t>,</w:t>
            </w:r>
            <w:r>
              <w:rPr>
                <w:rFonts w:ascii="Times New Roman" w:hAnsi="Times New Roman"/>
                <w:sz w:val="24"/>
                <w:szCs w:val="24"/>
              </w:rPr>
              <w:t>3</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8813E0">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01</w:t>
            </w:r>
            <w:r w:rsidR="008813E0">
              <w:rPr>
                <w:rFonts w:ascii="Times New Roman" w:hAnsi="Times New Roman"/>
                <w:sz w:val="24"/>
                <w:szCs w:val="24"/>
              </w:rPr>
              <w:t>7</w:t>
            </w:r>
            <w:r w:rsidR="00304668" w:rsidRPr="00304668">
              <w:rPr>
                <w:rFonts w:ascii="Times New Roman" w:hAnsi="Times New Roman"/>
                <w:sz w:val="24"/>
                <w:szCs w:val="24"/>
              </w:rPr>
              <w:t> </w:t>
            </w:r>
            <w:r w:rsidR="008813E0">
              <w:rPr>
                <w:rFonts w:ascii="Times New Roman" w:hAnsi="Times New Roman"/>
                <w:sz w:val="24"/>
                <w:szCs w:val="24"/>
              </w:rPr>
              <w:t>551</w:t>
            </w:r>
            <w:r w:rsidR="00304668" w:rsidRPr="00304668">
              <w:rPr>
                <w:rFonts w:ascii="Times New Roman" w:hAnsi="Times New Roman"/>
                <w:sz w:val="24"/>
                <w:szCs w:val="24"/>
              </w:rPr>
              <w:t>,</w:t>
            </w:r>
            <w:r w:rsidR="008813E0">
              <w:rPr>
                <w:rFonts w:ascii="Times New Roman" w:hAnsi="Times New Roman"/>
                <w:sz w:val="24"/>
                <w:szCs w:val="24"/>
              </w:rPr>
              <w:t>6</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lastRenderedPageBreak/>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8C5771">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w:t>
                  </w:r>
                  <w:r w:rsidR="008C5771">
                    <w:rPr>
                      <w:rFonts w:ascii="Times New Roman" w:hAnsi="Times New Roman"/>
                      <w:sz w:val="20"/>
                      <w:szCs w:val="20"/>
                    </w:rPr>
                    <w:t>, приобретенных</w:t>
                  </w:r>
                  <w:r w:rsidRPr="00160996">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C1537" w:rsidP="008C5771">
                  <w:pPr>
                    <w:spacing w:line="228" w:lineRule="auto"/>
                    <w:jc w:val="center"/>
                    <w:rPr>
                      <w:rFonts w:ascii="Times New Roman" w:hAnsi="Times New Roman"/>
                      <w:color w:val="0070C0"/>
                      <w:sz w:val="20"/>
                      <w:szCs w:val="20"/>
                    </w:rPr>
                  </w:pPr>
                  <w:r>
                    <w:rPr>
                      <w:rFonts w:ascii="Times New Roman" w:hAnsi="Times New Roman"/>
                      <w:color w:val="0070C0"/>
                      <w:sz w:val="20"/>
                      <w:szCs w:val="20"/>
                    </w:rPr>
                    <w:t>1</w:t>
                  </w:r>
                  <w:r w:rsidR="008C5771">
                    <w:rPr>
                      <w:rFonts w:ascii="Times New Roman" w:hAnsi="Times New Roman"/>
                      <w:color w:val="0070C0"/>
                      <w:sz w:val="20"/>
                      <w:szCs w:val="20"/>
                    </w:rPr>
                    <w:t>4</w:t>
                  </w:r>
                </w:p>
              </w:tc>
              <w:tc>
                <w:tcPr>
                  <w:tcW w:w="992" w:type="dxa"/>
                  <w:vAlign w:val="center"/>
                </w:tcPr>
                <w:p w:rsidR="00030C1B" w:rsidRPr="006772C7" w:rsidRDefault="008C5771" w:rsidP="00030C1B">
                  <w:pPr>
                    <w:spacing w:line="228" w:lineRule="auto"/>
                    <w:jc w:val="center"/>
                    <w:rPr>
                      <w:rFonts w:ascii="Times New Roman" w:hAnsi="Times New Roman"/>
                      <w:color w:val="0070C0"/>
                      <w:sz w:val="20"/>
                      <w:szCs w:val="20"/>
                    </w:rPr>
                  </w:pPr>
                  <w:r>
                    <w:rPr>
                      <w:rFonts w:ascii="Times New Roman" w:hAnsi="Times New Roman"/>
                      <w:color w:val="0070C0"/>
                      <w:sz w:val="20"/>
                      <w:szCs w:val="20"/>
                    </w:rPr>
                    <w:t>1</w:t>
                  </w:r>
                </w:p>
              </w:tc>
              <w:tc>
                <w:tcPr>
                  <w:tcW w:w="1134" w:type="dxa"/>
                  <w:tcBorders>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1</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3237F8" w:rsidP="003237F8">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1134" w:type="dxa"/>
                  <w:vAlign w:val="center"/>
                </w:tcPr>
                <w:p w:rsidR="00030C1B" w:rsidRPr="00030C1B" w:rsidRDefault="003237F8"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1134"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254D3A"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BB5878" w:rsidP="006303FF">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8C5771" w:rsidP="008C5771">
                  <w:pPr>
                    <w:spacing w:line="228" w:lineRule="auto"/>
                    <w:jc w:val="center"/>
                    <w:rPr>
                      <w:rFonts w:ascii="Times New Roman" w:hAnsi="Times New Roman"/>
                      <w:color w:val="0070C0"/>
                    </w:rPr>
                  </w:pPr>
                  <w:r>
                    <w:rPr>
                      <w:rFonts w:ascii="Times New Roman" w:hAnsi="Times New Roman"/>
                      <w:color w:val="0070C0"/>
                    </w:rPr>
                    <w:t>1 749</w:t>
                  </w:r>
                  <w:r w:rsidR="00EC5AE7" w:rsidRPr="00EC5AE7">
                    <w:rPr>
                      <w:rFonts w:ascii="Times New Roman" w:hAnsi="Times New Roman"/>
                      <w:color w:val="0070C0"/>
                    </w:rPr>
                    <w:t>,</w:t>
                  </w:r>
                  <w:r>
                    <w:rPr>
                      <w:rFonts w:ascii="Times New Roman" w:hAnsi="Times New Roman"/>
                      <w:color w:val="0070C0"/>
                    </w:rPr>
                    <w:t>1</w:t>
                  </w:r>
                  <w:r w:rsidR="00EC5AE7" w:rsidRPr="00EC5AE7">
                    <w:rPr>
                      <w:rFonts w:ascii="Times New Roman" w:hAnsi="Times New Roman"/>
                      <w:color w:val="0070C0"/>
                    </w:rPr>
                    <w:t>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85321" w:rsidP="003F0AAC">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4</w:t>
                        </w:r>
                        <w:r w:rsidR="00030C1B" w:rsidRPr="00030C1B">
                          <w:rPr>
                            <w:rFonts w:ascii="Times New Roman" w:hAnsi="Times New Roman"/>
                            <w:sz w:val="20"/>
                            <w:szCs w:val="20"/>
                          </w:rPr>
                          <w:t> </w:t>
                        </w:r>
                        <w:r w:rsidR="00756C56">
                          <w:rPr>
                            <w:rFonts w:ascii="Times New Roman" w:hAnsi="Times New Roman"/>
                            <w:sz w:val="20"/>
                            <w:szCs w:val="20"/>
                          </w:rPr>
                          <w:t>6</w:t>
                        </w:r>
                        <w:r w:rsidR="007619E0">
                          <w:rPr>
                            <w:rFonts w:ascii="Times New Roman" w:hAnsi="Times New Roman"/>
                            <w:sz w:val="20"/>
                            <w:szCs w:val="20"/>
                          </w:rPr>
                          <w:t>2</w:t>
                        </w:r>
                        <w:r w:rsidR="003F0AAC">
                          <w:rPr>
                            <w:rFonts w:ascii="Times New Roman" w:hAnsi="Times New Roman"/>
                            <w:sz w:val="20"/>
                            <w:szCs w:val="20"/>
                          </w:rPr>
                          <w:t>7</w:t>
                        </w:r>
                        <w:r w:rsidR="00030C1B" w:rsidRPr="00030C1B">
                          <w:rPr>
                            <w:rFonts w:ascii="Times New Roman" w:hAnsi="Times New Roman"/>
                            <w:sz w:val="20"/>
                            <w:szCs w:val="20"/>
                          </w:rPr>
                          <w:t> </w:t>
                        </w:r>
                        <w:r w:rsidR="003F0AAC">
                          <w:rPr>
                            <w:rFonts w:ascii="Times New Roman" w:hAnsi="Times New Roman"/>
                            <w:sz w:val="20"/>
                            <w:szCs w:val="20"/>
                          </w:rPr>
                          <w:t>877</w:t>
                        </w:r>
                        <w:r w:rsidR="00030C1B" w:rsidRPr="00030C1B">
                          <w:rPr>
                            <w:rFonts w:ascii="Times New Roman" w:hAnsi="Times New Roman"/>
                            <w:sz w:val="20"/>
                            <w:szCs w:val="20"/>
                          </w:rPr>
                          <w:t>,</w:t>
                        </w:r>
                        <w:r w:rsidR="003F0AAC">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756C56">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039</w:t>
                        </w:r>
                        <w:r w:rsidR="00030C1B" w:rsidRPr="00030C1B">
                          <w:rPr>
                            <w:rFonts w:ascii="Times New Roman" w:hAnsi="Times New Roman"/>
                            <w:sz w:val="20"/>
                            <w:szCs w:val="20"/>
                          </w:rPr>
                          <w:t> </w:t>
                        </w:r>
                        <w:r>
                          <w:rPr>
                            <w:rFonts w:ascii="Times New Roman" w:hAnsi="Times New Roman"/>
                            <w:sz w:val="20"/>
                            <w:szCs w:val="20"/>
                          </w:rPr>
                          <w:t>212</w:t>
                        </w:r>
                        <w:r w:rsidR="00030C1B" w:rsidRPr="00030C1B">
                          <w:rPr>
                            <w:rFonts w:ascii="Times New Roman" w:hAnsi="Times New Roman"/>
                            <w:sz w:val="20"/>
                            <w:szCs w:val="20"/>
                          </w:rPr>
                          <w:t>,</w:t>
                        </w:r>
                        <w:r>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 xml:space="preserve">"Развитие городского хозяйства на территории городского </w:t>
                        </w:r>
                        <w:r w:rsidRPr="00030C1B">
                          <w:rPr>
                            <w:rFonts w:ascii="Times New Roman" w:hAnsi="Times New Roman"/>
                            <w:sz w:val="20"/>
                            <w:szCs w:val="20"/>
                            <w:lang w:eastAsia="ru-RU"/>
                          </w:rPr>
                          <w:lastRenderedPageBreak/>
                          <w:t>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w:t>
                        </w:r>
                        <w:r w:rsidR="00756C5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922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w:t>
                        </w:r>
                        <w:r w:rsidR="00756C56">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w:t>
                        </w:r>
                        <w:r w:rsidRPr="00030C1B">
                          <w:rPr>
                            <w:rFonts w:ascii="Times New Roman" w:eastAsia="Times New Roman" w:hAnsi="Times New Roman"/>
                            <w:sz w:val="20"/>
                            <w:szCs w:val="20"/>
                            <w:lang w:eastAsia="ru-RU" w:bidi="ru-RU"/>
                          </w:rPr>
                          <w:lastRenderedPageBreak/>
                          <w:t xml:space="preserve">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lastRenderedPageBreak/>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824</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sidR="00D91648">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r w:rsidRPr="00030C1B">
                          <w:rPr>
                            <w:rFonts w:ascii="Times New Roman" w:eastAsia="Times New Roman" w:hAnsi="Times New Roman"/>
                            <w:sz w:val="20"/>
                            <w:szCs w:val="20"/>
                            <w:lang w:eastAsia="ru-RU" w:bidi="ru-RU"/>
                          </w:rPr>
                          <w:lastRenderedPageBreak/>
                          <w:t>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9709AB">
                          <w:rPr>
                            <w:rFonts w:ascii="Times New Roman" w:eastAsia="Times New Roman" w:hAnsi="Times New Roman"/>
                            <w:sz w:val="20"/>
                            <w:szCs w:val="20"/>
                            <w:lang w:eastAsia="ru-RU" w:bidi="ru-RU"/>
                          </w:rPr>
                          <w:t>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756C5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Исполнение судебных актов по предоставлению гражданам </w:t>
                        </w:r>
                        <w:r w:rsidRPr="00030C1B">
                          <w:rPr>
                            <w:rFonts w:ascii="Times New Roman" w:eastAsia="Times New Roman" w:hAnsi="Times New Roman"/>
                            <w:sz w:val="20"/>
                            <w:szCs w:val="20"/>
                            <w:lang w:eastAsia="ru-RU" w:bidi="ru-RU"/>
                          </w:rPr>
                          <w:lastRenderedPageBreak/>
                          <w:t>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29. Исполнение судебных </w:t>
                        </w:r>
                        <w:r w:rsidRPr="00030C1B">
                          <w:rPr>
                            <w:rFonts w:ascii="Times New Roman" w:eastAsia="Times New Roman" w:hAnsi="Times New Roman"/>
                            <w:sz w:val="20"/>
                            <w:szCs w:val="20"/>
                            <w:lang w:eastAsia="ru-RU" w:bidi="ru-RU"/>
                          </w:rPr>
                          <w:lastRenderedPageBreak/>
                          <w:t>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w:t>
                        </w:r>
                        <w:r w:rsidRPr="00030C1B">
                          <w:rPr>
                            <w:rFonts w:ascii="Times New Roman" w:eastAsia="Times New Roman" w:hAnsi="Times New Roman"/>
                            <w:sz w:val="20"/>
                            <w:szCs w:val="20"/>
                            <w:lang w:eastAsia="ru-RU" w:bidi="ru-RU"/>
                          </w:rPr>
                          <w:lastRenderedPageBreak/>
                          <w:t>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дополнительного обследования основных конструкций многоквартирного дома № </w:t>
                        </w:r>
                        <w:r w:rsidRPr="00030C1B">
                          <w:rPr>
                            <w:rFonts w:ascii="Times New Roman" w:eastAsia="Times New Roman" w:hAnsi="Times New Roman"/>
                            <w:sz w:val="20"/>
                            <w:szCs w:val="20"/>
                            <w:lang w:eastAsia="ru-RU" w:bidi="ru-RU"/>
                          </w:rPr>
                          <w:lastRenderedPageBreak/>
                          <w:t>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w:t>
                        </w:r>
                        <w:r w:rsidRPr="00030C1B">
                          <w:rPr>
                            <w:rFonts w:ascii="Times New Roman" w:eastAsia="Times New Roman" w:hAnsi="Times New Roman"/>
                            <w:sz w:val="20"/>
                            <w:szCs w:val="20"/>
                            <w:lang w:eastAsia="ru-RU" w:bidi="ru-RU"/>
                          </w:rPr>
                          <w:lastRenderedPageBreak/>
                          <w:t>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8A0CB0">
                          <w:rPr>
                            <w:rFonts w:ascii="Times New Roman" w:hAnsi="Times New Roman"/>
                            <w:sz w:val="20"/>
                            <w:szCs w:val="20"/>
                            <w:lang w:bidi="ru-RU"/>
                          </w:rPr>
                          <w:t>3</w:t>
                        </w:r>
                        <w:r w:rsidR="00030C1B" w:rsidRPr="00030C1B">
                          <w:rPr>
                            <w:rFonts w:ascii="Times New Roman" w:hAnsi="Times New Roman"/>
                            <w:sz w:val="20"/>
                            <w:szCs w:val="20"/>
                            <w:lang w:bidi="ru-RU"/>
                          </w:rPr>
                          <w:t> </w:t>
                        </w:r>
                        <w:r w:rsidR="008A0CB0">
                          <w:rPr>
                            <w:rFonts w:ascii="Times New Roman" w:hAnsi="Times New Roman"/>
                            <w:sz w:val="20"/>
                            <w:szCs w:val="20"/>
                            <w:lang w:bidi="ru-RU"/>
                          </w:rPr>
                          <w:t>92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0CB0"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49</w:t>
                        </w:r>
                        <w:r w:rsidR="00030C1B" w:rsidRPr="00030C1B">
                          <w:rPr>
                            <w:rFonts w:ascii="Times New Roman" w:hAnsi="Times New Roman"/>
                            <w:sz w:val="20"/>
                            <w:szCs w:val="20"/>
                            <w:lang w:bidi="ru-RU"/>
                          </w:rPr>
                          <w:t> </w:t>
                        </w:r>
                        <w:r>
                          <w:rPr>
                            <w:rFonts w:ascii="Times New Roman" w:hAnsi="Times New Roman"/>
                            <w:sz w:val="20"/>
                            <w:szCs w:val="20"/>
                            <w:lang w:bidi="ru-RU"/>
                          </w:rPr>
                          <w:t>932</w:t>
                        </w:r>
                        <w:r w:rsidR="00030C1B"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w:t>
                        </w:r>
                        <w:r w:rsidR="003F0AAC">
                          <w:rPr>
                            <w:rFonts w:ascii="Times New Roman" w:eastAsia="Times New Roman" w:hAnsi="Times New Roman"/>
                            <w:sz w:val="20"/>
                            <w:szCs w:val="20"/>
                            <w:lang w:eastAsia="ru-RU" w:bidi="ru-RU"/>
                          </w:rPr>
                          <w:t>62</w:t>
                        </w:r>
                        <w:r w:rsidR="00076DDE"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169</w:t>
                        </w:r>
                        <w:r w:rsidR="00076DDE"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jc w:val="center"/>
                        </w:pPr>
                        <w:r>
                          <w:rPr>
                            <w:rFonts w:ascii="Times New Roman" w:eastAsia="Times New Roman" w:hAnsi="Times New Roman"/>
                            <w:sz w:val="20"/>
                            <w:szCs w:val="20"/>
                            <w:lang w:eastAsia="ru-RU" w:bidi="ru-RU"/>
                          </w:rPr>
                          <w:t>135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057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w:t>
                        </w:r>
                        <w:r w:rsidRPr="00030C1B">
                          <w:rPr>
                            <w:rFonts w:ascii="Times New Roman" w:eastAsia="Times New Roman" w:hAnsi="Times New Roman"/>
                            <w:sz w:val="20"/>
                            <w:szCs w:val="20"/>
                            <w:lang w:eastAsia="ru-RU" w:bidi="ru-RU"/>
                          </w:rPr>
                          <w:lastRenderedPageBreak/>
                          <w:t xml:space="preserve">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w:t>
                        </w:r>
                        <w:r w:rsidRPr="00030C1B">
                          <w:rPr>
                            <w:rFonts w:ascii="Times New Roman" w:hAnsi="Times New Roman"/>
                            <w:sz w:val="20"/>
                            <w:szCs w:val="20"/>
                          </w:rPr>
                          <w:lastRenderedPageBreak/>
                          <w:t>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w:t>
                        </w:r>
                        <w:r w:rsidRPr="00030C1B">
                          <w:rPr>
                            <w:rFonts w:ascii="Times New Roman" w:hAnsi="Times New Roman"/>
                            <w:sz w:val="20"/>
                            <w:szCs w:val="20"/>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r w:rsidRPr="00030C1B">
                          <w:rPr>
                            <w:rFonts w:ascii="Times New Roman" w:eastAsia="Times New Roman" w:hAnsi="Times New Roman"/>
                            <w:sz w:val="20"/>
                            <w:szCs w:val="20"/>
                            <w:lang w:eastAsia="ru-RU" w:bidi="ru-RU"/>
                          </w:rPr>
                          <w:lastRenderedPageBreak/>
                          <w:t xml:space="preserve">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w:t>
                        </w:r>
                        <w:r w:rsidRPr="00030C1B">
                          <w:rPr>
                            <w:rFonts w:ascii="Times New Roman" w:eastAsia="Times New Roman" w:hAnsi="Times New Roman"/>
                            <w:sz w:val="20"/>
                            <w:szCs w:val="20"/>
                            <w:lang w:eastAsia="ru-RU" w:bidi="ru-RU"/>
                          </w:rPr>
                          <w:lastRenderedPageBreak/>
                          <w:t>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w:t>
                        </w:r>
                        <w:r w:rsidRPr="00030C1B">
                          <w:rPr>
                            <w:rFonts w:ascii="Times New Roman" w:eastAsia="Times New Roman" w:hAnsi="Times New Roman"/>
                            <w:color w:val="000000"/>
                            <w:sz w:val="20"/>
                            <w:szCs w:val="20"/>
                            <w:lang w:eastAsia="ru-RU" w:bidi="ru-RU"/>
                          </w:rPr>
                          <w:lastRenderedPageBreak/>
                          <w:t xml:space="preserve">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bookmarkStart w:id="0" w:name="_GoBack"/>
                        <w:bookmarkEnd w:id="0"/>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город Архангельск, Банный переулок 1-й, д. 2, корп. 1 для нужд МБУ ДО «ЦДОД «Контакт»</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3A" w:rsidRDefault="00254D3A">
      <w:pPr>
        <w:spacing w:after="0" w:line="240" w:lineRule="auto"/>
      </w:pPr>
      <w:r>
        <w:separator/>
      </w:r>
    </w:p>
  </w:endnote>
  <w:endnote w:type="continuationSeparator" w:id="0">
    <w:p w:rsidR="00254D3A" w:rsidRDefault="0025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3A" w:rsidRDefault="00254D3A">
      <w:pPr>
        <w:spacing w:after="0" w:line="240" w:lineRule="auto"/>
      </w:pPr>
      <w:r>
        <w:separator/>
      </w:r>
    </w:p>
  </w:footnote>
  <w:footnote w:type="continuationSeparator" w:id="0">
    <w:p w:rsidR="00254D3A" w:rsidRDefault="00254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245065" w:rsidRDefault="00245065">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3F0AAC">
          <w:rPr>
            <w:rFonts w:ascii="Times New Roman" w:hAnsi="Times New Roman" w:cs="Times New Roman"/>
            <w:noProof/>
            <w:sz w:val="28"/>
            <w:szCs w:val="28"/>
          </w:rPr>
          <w:t>70</w:t>
        </w:r>
        <w:r w:rsidRPr="007642D9">
          <w:rPr>
            <w:rFonts w:ascii="Times New Roman" w:hAnsi="Times New Roman" w:cs="Times New Roman"/>
            <w:sz w:val="28"/>
            <w:szCs w:val="28"/>
          </w:rPr>
          <w:fldChar w:fldCharType="end"/>
        </w:r>
      </w:p>
    </w:sdtContent>
  </w:sdt>
  <w:p w:rsidR="00245065" w:rsidRDefault="002450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4D3A"/>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8578-6891-48BA-9C9A-90903960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22062</Words>
  <Characters>125754</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5</cp:revision>
  <cp:lastPrinted>2022-01-19T08:47:00Z</cp:lastPrinted>
  <dcterms:created xsi:type="dcterms:W3CDTF">2024-04-03T06:18:00Z</dcterms:created>
  <dcterms:modified xsi:type="dcterms:W3CDTF">2024-04-03T06:29:00Z</dcterms:modified>
</cp:coreProperties>
</file>